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-1052194</wp:posOffset>
            </wp:positionV>
            <wp:extent cx="6836410" cy="106172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Kraków,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sierpnia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OGŁOSZENIE O WYNIKU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DP/7/KM/2021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Zarząd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Szpitala Specjalistycznego im. Ludwika Rydygiera w Krakowie sp. z o.o., 31–826 Kraków, os. Złotej Jesieni 1 informuje, iż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konkurs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udzielanie świadczeń zdrowotnych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 zakresie wykonywania badań pośmiertnych i przechowywania zwłok zabezpieczających funkcję i zadania Szpitala Specjalistycznego im. Ludwika Rydygiera w Krakowie spółka z o.o.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został unieważniony z uwagi na przekroczenie kwoty jaką Spółka zamierzała przeznaczyć na realizację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l Suit" w:cs="Libel Suit" w:eastAsia="Libel Suit" w:hAnsi="Libel Suit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265430</wp:posOffset>
            </wp:positionH>
            <wp:positionV relativeFrom="paragraph">
              <wp:posOffset>1038225</wp:posOffset>
            </wp:positionV>
            <wp:extent cx="6082665" cy="69469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69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l Su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